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Committee Meeting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Abingdon Arts Commission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  <w:t xml:space="preserve">July 10, 2023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4:00 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Arthur Campbell Room, Abingdon Town Hall, 133 W. Main St. Abingdon, VA 24210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rtl w:val="0"/>
        </w:rPr>
        <w:tab/>
        <w:t xml:space="preserve">Greg Lilly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Ben Jennings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Summer Apostol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Amanda Pillion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Mathew Frederick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Absent: </w:t>
        <w:tab/>
      </w:r>
      <w:r w:rsidDel="00000000" w:rsidR="00000000" w:rsidRPr="00000000">
        <w:rPr>
          <w:rtl w:val="0"/>
        </w:rPr>
        <w:t xml:space="preserve">Dirk Moore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at 4:00 PM by Greg Lilly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Quorum: </w:t>
      </w:r>
      <w:r w:rsidDel="00000000" w:rsidR="00000000" w:rsidRPr="00000000">
        <w:rPr>
          <w:rtl w:val="0"/>
        </w:rPr>
        <w:t xml:space="preserve">five of six members were present, and there was a quorum.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Approval of Agenda: </w:t>
      </w:r>
      <w:r w:rsidDel="00000000" w:rsidR="00000000" w:rsidRPr="00000000">
        <w:rPr>
          <w:rtl w:val="0"/>
        </w:rPr>
        <w:t xml:space="preserve">the agenda was approved.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the previous meeting minutes were approved.The motion to approve was made by Greg, moved by Ben, and seconded by Summer.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public art inventory &amp; interactive map process, next steps, and improvements.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Abingdon’s newest accolade, “Top 10 Best Small Town Arts Scene” and how it will be promoted.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Paid advertising (print &amp; digital), signage, and social media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Arts Master Plan Draft covering highlights from the Town’s Comprehensive Plan with a focus on the arts in Abingdon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Arts, Culture, and History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Tourism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Town’s plans for event sponsorships and funding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MOUs need to be sent out after final approval from Town Manager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photos added to the interactive Art Trail Map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options for a more interactive art experience geared toward children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App, scavenger hunt, etc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Find a non-profit to spearhead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Agenda for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next meeting is September 11, 2023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Greg Lilly adjourned the meeting at 4:58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DB086DE4-BEDF-402C-9A6F-11CB2ACBE226}"/>
</file>

<file path=customXml/itemProps2.xml><?xml version="1.0" encoding="utf-8"?>
<ds:datastoreItem xmlns:ds="http://schemas.openxmlformats.org/officeDocument/2006/customXml" ds:itemID="{5D63D4BA-43EB-4DC5-8DA0-5FC2979599FD}"/>
</file>

<file path=customXml/itemProps3.xml><?xml version="1.0" encoding="utf-8"?>
<ds:datastoreItem xmlns:ds="http://schemas.openxmlformats.org/officeDocument/2006/customXml" ds:itemID="{F05991C4-C2B3-4571-9A2B-B2BCD5355D1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